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91D2F">
        <w:rPr>
          <w:rFonts w:ascii="Times New Roman" w:hAnsi="Times New Roman" w:cs="Times New Roman"/>
          <w:b/>
          <w:bCs/>
          <w:sz w:val="48"/>
          <w:szCs w:val="48"/>
        </w:rPr>
        <w:t>TECHNICKÝ LIST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D2F">
        <w:rPr>
          <w:rFonts w:ascii="Times New Roman" w:hAnsi="Times New Roman" w:cs="Times New Roman"/>
          <w:b/>
          <w:bCs/>
          <w:sz w:val="28"/>
          <w:szCs w:val="28"/>
        </w:rPr>
        <w:t>Betonové bloky pro dělící stěny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Informace o výrobku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>Bloky se používají pro výstavbu dělících stěn, boxů pro sypké materiály, případně jako opěrné stěny násypů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 xml:space="preserve">pro pozemní komunikace, zpevněné plochy nebo zajištění zemních výkopů a rýh až do výšky </w:t>
      </w:r>
      <w:r>
        <w:rPr>
          <w:rFonts w:ascii="Times New Roman" w:hAnsi="Times New Roman" w:cs="Times New Roman"/>
          <w:sz w:val="20"/>
          <w:szCs w:val="20"/>
        </w:rPr>
        <w:t xml:space="preserve">3,2 </w:t>
      </w:r>
      <w:r w:rsidRPr="00891D2F">
        <w:rPr>
          <w:rFonts w:ascii="Times New Roman" w:hAnsi="Times New Roman" w:cs="Times New Roman"/>
          <w:sz w:val="20"/>
          <w:szCs w:val="20"/>
        </w:rPr>
        <w:t>m. Betonové</w:t>
      </w:r>
    </w:p>
    <w:p w:rsid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 xml:space="preserve">bloky mají tvar kvádru, jedná se o betonové výrobky ve tvaru bloku o rozměrech </w:t>
      </w:r>
      <w:r>
        <w:rPr>
          <w:rFonts w:ascii="Times New Roman" w:hAnsi="Times New Roman" w:cs="Times New Roman"/>
          <w:sz w:val="20"/>
          <w:szCs w:val="20"/>
        </w:rPr>
        <w:t>800</w:t>
      </w:r>
      <w:r w:rsidRPr="00891D2F">
        <w:rPr>
          <w:rFonts w:ascii="Times New Roman" w:hAnsi="Times New Roman" w:cs="Times New Roman"/>
          <w:sz w:val="20"/>
          <w:szCs w:val="20"/>
        </w:rPr>
        <w:t>x800x1600mm,</w:t>
      </w:r>
      <w:r>
        <w:rPr>
          <w:rFonts w:ascii="Times New Roman" w:hAnsi="Times New Roman" w:cs="Times New Roman"/>
          <w:sz w:val="20"/>
          <w:szCs w:val="20"/>
        </w:rPr>
        <w:t xml:space="preserve"> 600x600x1800 a jejich možných půlek a čtvrtek. Na </w:t>
      </w:r>
      <w:r w:rsidRPr="00891D2F">
        <w:rPr>
          <w:rFonts w:ascii="Times New Roman" w:hAnsi="Times New Roman" w:cs="Times New Roman"/>
          <w:sz w:val="20"/>
          <w:szCs w:val="20"/>
        </w:rPr>
        <w:t>vodorovných ložných plochách jsou opatřeny zámkem a kapsou pro přesné a stabilní uložení bez možnosti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D2F">
        <w:rPr>
          <w:rFonts w:ascii="Times New Roman" w:hAnsi="Times New Roman" w:cs="Times New Roman"/>
          <w:sz w:val="20"/>
          <w:szCs w:val="20"/>
        </w:rPr>
        <w:t xml:space="preserve">posunutí. 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>Povrch bloků tvoří hladký beton bez dalších povrchových úprav. Protilehlé stěny bloků obsahují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 xml:space="preserve">kapsy a zámky pro přesnější a stabilnější uložení bloků do sebe. 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>Betonové bloky jsou vyráběny dle ČSN EN 15258.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>Pro výrobu bloků je použit beton C25/30 XC3, XF1, XA1 a jsou vhodné pro prostředí, kde jsou vystaveny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>vlhku a mrazu nebo do slabě chemicky agresivního prostředí klasifikovaného dle ČSN EN 206 + ČSN P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>732404. Pro zvýšenou agresivitu je nutné betonové bloky chránit vhodnou sekundární ochranou.</w:t>
      </w:r>
    </w:p>
    <w:p w:rsid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91D2F">
        <w:rPr>
          <w:rFonts w:ascii="Times New Roman" w:hAnsi="Times New Roman" w:cs="Times New Roman"/>
          <w:b/>
          <w:bCs/>
          <w:sz w:val="20"/>
          <w:szCs w:val="20"/>
        </w:rPr>
        <w:t>Použití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 xml:space="preserve">Bloky se používají pro dělící stěny skládek sypkých materiálů, případně jako opěrné stěny do výšky </w:t>
      </w:r>
      <w:r>
        <w:rPr>
          <w:rFonts w:ascii="Times New Roman" w:hAnsi="Times New Roman" w:cs="Times New Roman"/>
          <w:sz w:val="20"/>
          <w:szCs w:val="20"/>
        </w:rPr>
        <w:t>3,2</w:t>
      </w:r>
      <w:r w:rsidRPr="00891D2F">
        <w:rPr>
          <w:rFonts w:ascii="Times New Roman" w:hAnsi="Times New Roman" w:cs="Times New Roman"/>
          <w:sz w:val="20"/>
          <w:szCs w:val="20"/>
        </w:rPr>
        <w:t>m.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91D2F">
        <w:rPr>
          <w:rFonts w:ascii="Times New Roman" w:hAnsi="Times New Roman" w:cs="Times New Roman"/>
          <w:b/>
          <w:bCs/>
          <w:sz w:val="20"/>
          <w:szCs w:val="20"/>
        </w:rPr>
        <w:t>Výhody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>Jednoduchá a rychlá montáž i demontáž bez použití malty a nutnosti vyzdívání základů.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>Možnost najednou poskládat případně rozebrat celou stěnu libovolného půdorysu.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>Variabilita – prvky lze poskládat půdorysně dle vašeho požadavku a kdykoliv je možné stěny rozebrat a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>postavit jinde.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>Rychlost výstavby – prvky se na sebe skládají volně bez spojení a najednou lze poskládat celou stěnu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91D2F">
        <w:rPr>
          <w:rFonts w:ascii="Times New Roman" w:hAnsi="Times New Roman" w:cs="Times New Roman"/>
          <w:b/>
          <w:bCs/>
          <w:sz w:val="20"/>
          <w:szCs w:val="20"/>
        </w:rPr>
        <w:t>Stavební připravenost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>Bloky se pokládají pouze na vodorovnou zpevněnou plochu, u které nemůže dojít k sedání.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91D2F">
        <w:rPr>
          <w:rFonts w:ascii="Times New Roman" w:hAnsi="Times New Roman" w:cs="Times New Roman"/>
          <w:b/>
          <w:bCs/>
          <w:sz w:val="20"/>
          <w:szCs w:val="20"/>
        </w:rPr>
        <w:t>Sestavení stěny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 xml:space="preserve">Pomocí </w:t>
      </w:r>
      <w:r>
        <w:rPr>
          <w:rFonts w:ascii="Times New Roman" w:hAnsi="Times New Roman" w:cs="Times New Roman"/>
          <w:sz w:val="20"/>
          <w:szCs w:val="20"/>
        </w:rPr>
        <w:t>ocelového dvojháčku</w:t>
      </w:r>
      <w:r w:rsidRPr="00891D2F">
        <w:rPr>
          <w:rFonts w:ascii="Times New Roman" w:hAnsi="Times New Roman" w:cs="Times New Roman"/>
          <w:sz w:val="20"/>
          <w:szCs w:val="20"/>
        </w:rPr>
        <w:t xml:space="preserve"> se blok zvedne a uloží na požadované místo kapsami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D2F">
        <w:rPr>
          <w:rFonts w:ascii="Times New Roman" w:hAnsi="Times New Roman" w:cs="Times New Roman"/>
          <w:sz w:val="20"/>
          <w:szCs w:val="20"/>
        </w:rPr>
        <w:t>dolů. Pomocí vodováhy se zkontroluje rovinnost dílce. Dělící stěnu je nutné tvarovat do dvou na sebe kolmých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>směrů (tvar písmene L, U, T, apod.). Druhou vrstvu klademe s přesahem na první (tzv. na vazbu) tak, aby se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 xml:space="preserve">svislé spáry nepřekrývaly – obdoba pokládky cihel u zdění. Zkontrolujeme, zda zámky při položení dosedly </w:t>
      </w:r>
      <w:proofErr w:type="gramStart"/>
      <w:r w:rsidRPr="00891D2F">
        <w:rPr>
          <w:rFonts w:ascii="Times New Roman" w:hAnsi="Times New Roman" w:cs="Times New Roman"/>
          <w:sz w:val="20"/>
          <w:szCs w:val="20"/>
        </w:rPr>
        <w:t>na</w:t>
      </w:r>
      <w:proofErr w:type="gramEnd"/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91D2F">
        <w:rPr>
          <w:rFonts w:ascii="Times New Roman" w:hAnsi="Times New Roman" w:cs="Times New Roman"/>
          <w:sz w:val="20"/>
          <w:szCs w:val="20"/>
        </w:rPr>
        <w:t>kapsy a zda</w:t>
      </w:r>
      <w:proofErr w:type="gramEnd"/>
      <w:r w:rsidRPr="00891D2F">
        <w:rPr>
          <w:rFonts w:ascii="Times New Roman" w:hAnsi="Times New Roman" w:cs="Times New Roman"/>
          <w:sz w:val="20"/>
          <w:szCs w:val="20"/>
        </w:rPr>
        <w:t xml:space="preserve"> je blok stabilní. Prvky se skládají na sucho bez použití malty. Okraj stěny může být odstupňovaný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 xml:space="preserve">nebo rovný při použití polovičních bloků. Takto lze poskládat stěnu do výšky 4 vrstev – tzn. </w:t>
      </w:r>
      <w:r w:rsidR="00CC4C30">
        <w:rPr>
          <w:rFonts w:ascii="Times New Roman" w:hAnsi="Times New Roman" w:cs="Times New Roman"/>
          <w:sz w:val="20"/>
          <w:szCs w:val="20"/>
        </w:rPr>
        <w:t xml:space="preserve">3,2 </w:t>
      </w:r>
      <w:r w:rsidRPr="00891D2F">
        <w:rPr>
          <w:rFonts w:ascii="Times New Roman" w:hAnsi="Times New Roman" w:cs="Times New Roman"/>
          <w:sz w:val="20"/>
          <w:szCs w:val="20"/>
        </w:rPr>
        <w:t xml:space="preserve">m. V </w:t>
      </w:r>
      <w:proofErr w:type="gramStart"/>
      <w:r w:rsidRPr="00891D2F">
        <w:rPr>
          <w:rFonts w:ascii="Times New Roman" w:hAnsi="Times New Roman" w:cs="Times New Roman"/>
          <w:sz w:val="20"/>
          <w:szCs w:val="20"/>
        </w:rPr>
        <w:t>případe</w:t>
      </w:r>
      <w:proofErr w:type="gramEnd"/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>požadavku na stěnu vyšší je nutné provést individuální návrh dle možného bočního zatížení stěny (statické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>posouzení).</w:t>
      </w:r>
    </w:p>
    <w:p w:rsidR="00891D2F" w:rsidRPr="00891D2F" w:rsidRDefault="00891D2F" w:rsidP="0089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91D2F">
        <w:rPr>
          <w:rFonts w:ascii="Times New Roman" w:hAnsi="Times New Roman" w:cs="Times New Roman"/>
          <w:b/>
          <w:bCs/>
          <w:sz w:val="20"/>
          <w:szCs w:val="20"/>
        </w:rPr>
        <w:t>Upozornění</w:t>
      </w:r>
    </w:p>
    <w:p w:rsidR="000A0022" w:rsidRDefault="00891D2F" w:rsidP="00891D2F">
      <w:pPr>
        <w:rPr>
          <w:rFonts w:ascii="Times New Roman" w:hAnsi="Times New Roman" w:cs="Times New Roman"/>
          <w:sz w:val="20"/>
          <w:szCs w:val="20"/>
        </w:rPr>
      </w:pPr>
      <w:r w:rsidRPr="00891D2F">
        <w:rPr>
          <w:rFonts w:ascii="Times New Roman" w:hAnsi="Times New Roman" w:cs="Times New Roman"/>
          <w:sz w:val="20"/>
          <w:szCs w:val="20"/>
        </w:rPr>
        <w:t>V případě nedodržení pokynů uvedených v technickém listu se firma zříká odpovědnosti za možné škody.</w:t>
      </w:r>
    </w:p>
    <w:p w:rsidR="00CC4C30" w:rsidRDefault="00CC4C30" w:rsidP="00891D2F">
      <w:pPr>
        <w:rPr>
          <w:rFonts w:ascii="Times New Roman" w:hAnsi="Times New Roman" w:cs="Times New Roman"/>
          <w:sz w:val="20"/>
          <w:szCs w:val="20"/>
        </w:rPr>
      </w:pPr>
    </w:p>
    <w:p w:rsidR="00CC4C30" w:rsidRDefault="00CC4C30" w:rsidP="00891D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Brance u Opavy  </w:t>
      </w:r>
      <w:proofErr w:type="gramStart"/>
      <w:r>
        <w:rPr>
          <w:rFonts w:ascii="Times New Roman" w:hAnsi="Times New Roman" w:cs="Times New Roman"/>
          <w:sz w:val="20"/>
          <w:szCs w:val="20"/>
        </w:rPr>
        <w:t>15.10.2019</w:t>
      </w:r>
      <w:proofErr w:type="gramEnd"/>
    </w:p>
    <w:p w:rsidR="00CC4C30" w:rsidRDefault="00CC4C30" w:rsidP="00891D2F">
      <w:pPr>
        <w:rPr>
          <w:rFonts w:ascii="Times New Roman" w:hAnsi="Times New Roman" w:cs="Times New Roman"/>
          <w:sz w:val="20"/>
          <w:szCs w:val="20"/>
        </w:rPr>
      </w:pPr>
    </w:p>
    <w:p w:rsidR="00CC4C30" w:rsidRDefault="00CC4C30" w:rsidP="00891D2F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Andrla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CZ s.r.o.</w:t>
      </w:r>
    </w:p>
    <w:p w:rsidR="00CC4C30" w:rsidRDefault="00CC4C30" w:rsidP="00891D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Michal </w:t>
      </w:r>
      <w:proofErr w:type="spellStart"/>
      <w:r>
        <w:rPr>
          <w:rFonts w:ascii="Times New Roman" w:hAnsi="Times New Roman" w:cs="Times New Roman"/>
          <w:sz w:val="20"/>
          <w:szCs w:val="20"/>
        </w:rPr>
        <w:t>Ivanco</w:t>
      </w:r>
      <w:proofErr w:type="spellEnd"/>
    </w:p>
    <w:p w:rsidR="004534A4" w:rsidRDefault="004534A4" w:rsidP="00891D2F">
      <w:pPr>
        <w:rPr>
          <w:rFonts w:ascii="Times New Roman" w:hAnsi="Times New Roman" w:cs="Times New Roman"/>
          <w:sz w:val="20"/>
          <w:szCs w:val="20"/>
        </w:rPr>
      </w:pPr>
    </w:p>
    <w:p w:rsidR="004534A4" w:rsidRDefault="004534A4" w:rsidP="00891D2F">
      <w:pPr>
        <w:rPr>
          <w:rFonts w:ascii="Times New Roman" w:hAnsi="Times New Roman" w:cs="Times New Roman"/>
          <w:sz w:val="20"/>
          <w:szCs w:val="20"/>
        </w:rPr>
      </w:pPr>
    </w:p>
    <w:p w:rsidR="004534A4" w:rsidRDefault="004534A4" w:rsidP="00891D2F">
      <w:pPr>
        <w:rPr>
          <w:rFonts w:ascii="Times New Roman" w:hAnsi="Times New Roman" w:cs="Times New Roman"/>
          <w:sz w:val="20"/>
          <w:szCs w:val="20"/>
        </w:rPr>
      </w:pPr>
    </w:p>
    <w:p w:rsidR="004534A4" w:rsidRDefault="004534A4" w:rsidP="00891D2F">
      <w:pPr>
        <w:rPr>
          <w:rFonts w:ascii="Times New Roman" w:hAnsi="Times New Roman" w:cs="Times New Roman"/>
          <w:sz w:val="20"/>
          <w:szCs w:val="20"/>
        </w:rPr>
      </w:pPr>
    </w:p>
    <w:p w:rsidR="004534A4" w:rsidRDefault="004534A4" w:rsidP="00891D2F">
      <w:pPr>
        <w:rPr>
          <w:rFonts w:ascii="Times New Roman" w:hAnsi="Times New Roman" w:cs="Times New Roman"/>
        </w:rPr>
      </w:pPr>
      <w:r>
        <w:rPr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4857750" cy="3181350"/>
            <wp:effectExtent l="0" t="0" r="0" b="0"/>
            <wp:docPr id="1" name="Obrázek 1" descr="Výkres2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ýkres2-Mod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49"/>
        <w:gridCol w:w="1304"/>
        <w:gridCol w:w="1206"/>
        <w:gridCol w:w="1207"/>
        <w:gridCol w:w="1207"/>
        <w:gridCol w:w="1575"/>
      </w:tblGrid>
      <w:tr w:rsidR="004534A4" w:rsidRPr="004534A4" w:rsidTr="007B2920">
        <w:tc>
          <w:tcPr>
            <w:tcW w:w="9330" w:type="dxa"/>
            <w:gridSpan w:val="7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b/>
                <w:sz w:val="28"/>
                <w:szCs w:val="28"/>
                <w:lang w:eastAsia="cs-CZ"/>
              </w:rPr>
              <w:t>BETONOVÉ BLOKY BB</w:t>
            </w:r>
          </w:p>
        </w:tc>
      </w:tr>
      <w:tr w:rsidR="004534A4" w:rsidRPr="004534A4" w:rsidTr="007B2920"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b/>
                <w:lang w:eastAsia="cs-CZ"/>
              </w:rPr>
              <w:t>Název</w:t>
            </w:r>
          </w:p>
        </w:tc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b/>
                <w:lang w:eastAsia="cs-CZ"/>
              </w:rPr>
              <w:t>značka</w:t>
            </w:r>
          </w:p>
        </w:tc>
        <w:tc>
          <w:tcPr>
            <w:tcW w:w="1174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b/>
                <w:lang w:eastAsia="cs-CZ"/>
              </w:rPr>
              <w:t>Hmot.</w:t>
            </w:r>
          </w:p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kg</w:t>
            </w:r>
          </w:p>
        </w:tc>
        <w:tc>
          <w:tcPr>
            <w:tcW w:w="1086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b/>
                <w:lang w:eastAsia="cs-CZ"/>
              </w:rPr>
              <w:t>L</w:t>
            </w:r>
          </w:p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mm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b/>
                <w:lang w:eastAsia="cs-CZ"/>
              </w:rPr>
              <w:t>B</w:t>
            </w:r>
          </w:p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mm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b/>
                <w:lang w:eastAsia="cs-CZ"/>
              </w:rPr>
              <w:t>H</w:t>
            </w:r>
          </w:p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mm</w:t>
            </w:r>
          </w:p>
        </w:tc>
        <w:tc>
          <w:tcPr>
            <w:tcW w:w="1418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b/>
                <w:lang w:eastAsia="cs-CZ"/>
              </w:rPr>
              <w:t>Horní</w:t>
            </w:r>
          </w:p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b/>
                <w:lang w:eastAsia="cs-CZ"/>
              </w:rPr>
              <w:t>hrana</w:t>
            </w:r>
          </w:p>
        </w:tc>
      </w:tr>
      <w:tr w:rsidR="004534A4" w:rsidRPr="004534A4" w:rsidTr="007B2920"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Betonový blok</w:t>
            </w:r>
          </w:p>
        </w:tc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BB1</w:t>
            </w:r>
          </w:p>
        </w:tc>
        <w:tc>
          <w:tcPr>
            <w:tcW w:w="1174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086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1600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800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800</w:t>
            </w:r>
          </w:p>
        </w:tc>
        <w:tc>
          <w:tcPr>
            <w:tcW w:w="1418" w:type="dxa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sražená</w:t>
            </w:r>
          </w:p>
        </w:tc>
      </w:tr>
      <w:tr w:rsidR="004534A4" w:rsidRPr="004534A4" w:rsidTr="007B2920"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Betonový blok</w:t>
            </w:r>
          </w:p>
        </w:tc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BB2</w:t>
            </w:r>
          </w:p>
        </w:tc>
        <w:tc>
          <w:tcPr>
            <w:tcW w:w="1174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086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800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800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800</w:t>
            </w:r>
          </w:p>
        </w:tc>
        <w:tc>
          <w:tcPr>
            <w:tcW w:w="1418" w:type="dxa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sražená</w:t>
            </w:r>
          </w:p>
        </w:tc>
      </w:tr>
      <w:tr w:rsidR="004534A4" w:rsidRPr="004534A4" w:rsidTr="007B2920"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Betonový blok</w:t>
            </w:r>
          </w:p>
        </w:tc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BB3</w:t>
            </w:r>
          </w:p>
        </w:tc>
        <w:tc>
          <w:tcPr>
            <w:tcW w:w="1174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086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1600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400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800</w:t>
            </w:r>
          </w:p>
        </w:tc>
        <w:tc>
          <w:tcPr>
            <w:tcW w:w="1418" w:type="dxa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sražená</w:t>
            </w:r>
          </w:p>
        </w:tc>
      </w:tr>
      <w:tr w:rsidR="004534A4" w:rsidRPr="004534A4" w:rsidTr="007B2920"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Betonový blok</w:t>
            </w:r>
          </w:p>
        </w:tc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BB4</w:t>
            </w:r>
          </w:p>
        </w:tc>
        <w:tc>
          <w:tcPr>
            <w:tcW w:w="1174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086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400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800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800</w:t>
            </w:r>
          </w:p>
        </w:tc>
        <w:tc>
          <w:tcPr>
            <w:tcW w:w="1418" w:type="dxa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sražená</w:t>
            </w:r>
          </w:p>
        </w:tc>
      </w:tr>
      <w:tr w:rsidR="004534A4" w:rsidRPr="004534A4" w:rsidTr="007B2920"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Betonový blok</w:t>
            </w:r>
          </w:p>
        </w:tc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BB5</w:t>
            </w:r>
          </w:p>
        </w:tc>
        <w:tc>
          <w:tcPr>
            <w:tcW w:w="1174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086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1600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800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400</w:t>
            </w:r>
          </w:p>
        </w:tc>
        <w:tc>
          <w:tcPr>
            <w:tcW w:w="1418" w:type="dxa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sražená</w:t>
            </w:r>
          </w:p>
        </w:tc>
      </w:tr>
      <w:tr w:rsidR="004534A4" w:rsidRPr="004534A4" w:rsidTr="007B2920"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Betonový blok</w:t>
            </w:r>
          </w:p>
        </w:tc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BB6</w:t>
            </w:r>
          </w:p>
        </w:tc>
        <w:tc>
          <w:tcPr>
            <w:tcW w:w="1174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086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1800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600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600</w:t>
            </w:r>
          </w:p>
        </w:tc>
        <w:tc>
          <w:tcPr>
            <w:tcW w:w="1418" w:type="dxa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Sražená</w:t>
            </w:r>
          </w:p>
        </w:tc>
      </w:tr>
      <w:tr w:rsidR="004534A4" w:rsidRPr="004534A4" w:rsidTr="007B2920"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Betonový blok</w:t>
            </w:r>
          </w:p>
        </w:tc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BB7</w:t>
            </w:r>
          </w:p>
        </w:tc>
        <w:tc>
          <w:tcPr>
            <w:tcW w:w="1174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086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900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600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600</w:t>
            </w:r>
          </w:p>
        </w:tc>
        <w:tc>
          <w:tcPr>
            <w:tcW w:w="1418" w:type="dxa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Sražená</w:t>
            </w:r>
          </w:p>
        </w:tc>
      </w:tr>
      <w:tr w:rsidR="004534A4" w:rsidRPr="004534A4" w:rsidTr="007B2920"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Betonový blok</w:t>
            </w:r>
          </w:p>
        </w:tc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BB8</w:t>
            </w:r>
          </w:p>
        </w:tc>
        <w:tc>
          <w:tcPr>
            <w:tcW w:w="1174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086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1800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300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300</w:t>
            </w:r>
          </w:p>
        </w:tc>
        <w:tc>
          <w:tcPr>
            <w:tcW w:w="1418" w:type="dxa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Sražená</w:t>
            </w:r>
          </w:p>
        </w:tc>
      </w:tr>
      <w:tr w:rsidR="004534A4" w:rsidRPr="004534A4" w:rsidTr="007B2920"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Betonový blok</w:t>
            </w:r>
          </w:p>
        </w:tc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BB9</w:t>
            </w:r>
          </w:p>
        </w:tc>
        <w:tc>
          <w:tcPr>
            <w:tcW w:w="1174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086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450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300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300</w:t>
            </w:r>
          </w:p>
        </w:tc>
        <w:tc>
          <w:tcPr>
            <w:tcW w:w="1418" w:type="dxa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Sražená</w:t>
            </w:r>
          </w:p>
        </w:tc>
      </w:tr>
      <w:tr w:rsidR="004534A4" w:rsidRPr="004534A4" w:rsidTr="007B2920"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Betonový blok</w:t>
            </w:r>
          </w:p>
        </w:tc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BB10</w:t>
            </w:r>
          </w:p>
        </w:tc>
        <w:tc>
          <w:tcPr>
            <w:tcW w:w="1174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086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1800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600</w:t>
            </w: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300</w:t>
            </w:r>
          </w:p>
        </w:tc>
        <w:tc>
          <w:tcPr>
            <w:tcW w:w="1418" w:type="dxa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534A4">
              <w:rPr>
                <w:rFonts w:ascii="Arial" w:eastAsia="Times New Roman" w:hAnsi="Arial" w:cs="Times New Roman"/>
                <w:lang w:eastAsia="cs-CZ"/>
              </w:rPr>
              <w:t>sražená</w:t>
            </w:r>
          </w:p>
        </w:tc>
      </w:tr>
      <w:tr w:rsidR="004534A4" w:rsidRPr="004534A4" w:rsidTr="007B2920"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174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086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418" w:type="dxa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</w:p>
        </w:tc>
      </w:tr>
      <w:tr w:rsidR="004534A4" w:rsidRPr="004534A4" w:rsidTr="007B2920"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174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086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418" w:type="dxa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</w:p>
        </w:tc>
      </w:tr>
      <w:tr w:rsidR="004534A4" w:rsidRPr="004534A4" w:rsidTr="007B2920"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0" w:type="auto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174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086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087" w:type="dxa"/>
          </w:tcPr>
          <w:p w:rsidR="004534A4" w:rsidRPr="004534A4" w:rsidRDefault="004534A4" w:rsidP="004534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cs-CZ"/>
              </w:rPr>
            </w:pPr>
          </w:p>
        </w:tc>
        <w:tc>
          <w:tcPr>
            <w:tcW w:w="1418" w:type="dxa"/>
          </w:tcPr>
          <w:p w:rsidR="004534A4" w:rsidRPr="004534A4" w:rsidRDefault="004534A4" w:rsidP="004534A4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</w:p>
        </w:tc>
      </w:tr>
    </w:tbl>
    <w:p w:rsidR="004534A4" w:rsidRPr="00891D2F" w:rsidRDefault="004534A4" w:rsidP="00891D2F">
      <w:pPr>
        <w:rPr>
          <w:rFonts w:ascii="Times New Roman" w:hAnsi="Times New Roman" w:cs="Times New Roman"/>
        </w:rPr>
      </w:pPr>
    </w:p>
    <w:sectPr w:rsidR="004534A4" w:rsidRPr="0089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2F"/>
    <w:rsid w:val="000A0022"/>
    <w:rsid w:val="004534A4"/>
    <w:rsid w:val="00891D2F"/>
    <w:rsid w:val="00C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2019-10-22T06:36:00Z</dcterms:created>
  <dcterms:modified xsi:type="dcterms:W3CDTF">2019-10-22T06:53:00Z</dcterms:modified>
</cp:coreProperties>
</file>